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left="1080" w:firstLine="0"/>
        <w:jc w:val="center"/>
        <w:rPr>
          <w:b w:val="1"/>
          <w:bCs w:val="1"/>
          <w:color w:val="000000"/>
          <w:sz w:val="20"/>
          <w:szCs w:val="20"/>
          <w:highlight w:val="yellow"/>
        </w:rPr>
      </w:pPr>
      <w:r w:rsidDel="00000000" w:rsidR="00000000" w:rsidRPr="00000000">
        <w:rPr>
          <w:b w:val="1"/>
          <w:bCs w:val="1"/>
          <w:color w:val="000000"/>
          <w:sz w:val="20"/>
          <w:szCs w:val="20"/>
          <w:rtl w:val="0"/>
        </w:rPr>
        <w:t xml:space="preserve">Załącznik nr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left="1080" w:firstLine="0"/>
        <w:jc w:val="center"/>
        <w:rPr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b w:val="1"/>
          <w:bCs w:val="1"/>
          <w:color w:val="000000"/>
          <w:sz w:val="20"/>
          <w:szCs w:val="20"/>
          <w:rtl w:val="0"/>
        </w:rPr>
        <w:t xml:space="preserve">do zapytania ofertowego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1/03/2026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left="1080" w:firstLine="0"/>
        <w:jc w:val="center"/>
        <w:rPr>
          <w:color w:val="000000"/>
        </w:rPr>
      </w:pPr>
      <w:r w:rsidDel="00000000" w:rsidR="00000000" w:rsidRPr="00000000">
        <w:rPr>
          <w:b w:val="1"/>
          <w:bCs w:val="1"/>
          <w:color w:val="000000"/>
          <w:sz w:val="20"/>
          <w:szCs w:val="20"/>
          <w:rtl w:val="0"/>
        </w:rPr>
        <w:t xml:space="preserve">KRYTERIA OCENY OFERT, SPOSÓB OCENY KRYTERIÓW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20" w:firstLine="0"/>
        <w:jc w:val="both"/>
        <w:rPr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20" w:hanging="360"/>
        <w:jc w:val="both"/>
        <w:rPr>
          <w:color w:val="000000"/>
          <w:sz w:val="20"/>
          <w:szCs w:val="20"/>
        </w:rPr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Oceniając złożone oferty Zamawiający będzie kierował się najkorzystniejszą ofertą Wykonawcy spełniającego warunki określone w Zapytaniu ofertowym.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20" w:hanging="360"/>
        <w:jc w:val="both"/>
        <w:rPr>
          <w:color w:val="000000"/>
          <w:sz w:val="20"/>
          <w:szCs w:val="20"/>
        </w:rPr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Zamawiający oceni i porówna jedynie te oferty, które nie zostaną odrzucone.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20" w:hanging="360"/>
        <w:jc w:val="both"/>
        <w:rPr>
          <w:color w:val="000000"/>
          <w:sz w:val="20"/>
          <w:szCs w:val="20"/>
        </w:rPr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W przypadku nie wybrania Wykonawcy (np. brak ofert, odrzucenie ofert) Zamawiający dopuszcza możliwość ponownego rozpoczęcia procedury Zapytania ofertowego.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Ocena ofert zostanie przeprowadzona dla całości zamówienia. </w:t>
      </w:r>
      <w:r w:rsidDel="00000000" w:rsidR="00000000" w:rsidRPr="00000000">
        <w:rPr>
          <w:rtl w:val="0"/>
        </w:rPr>
        <w:t xml:space="preserve">Całość będzie</w:t>
      </w:r>
      <w:r w:rsidDel="00000000" w:rsidR="00000000" w:rsidRPr="00000000">
        <w:rPr>
          <w:color w:val="000000"/>
          <w:rtl w:val="0"/>
        </w:rPr>
        <w:t xml:space="preserve"> oceniana według dwóch kryteriów: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Ceny (C) oraz Parametrów dodatkowych (T). 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Za najkorzystniejszą ofertę uznaje się ofertę z najwyższą liczbą punktów (LLP).</w:t>
        <w:br w:type="textWrapping"/>
        <w:t xml:space="preserve">LLP = C + T</w:t>
        <w:br w:type="textWrapping"/>
        <w:br w:type="textWrapping"/>
        <w:t xml:space="preserve">C – liczba punktów przyznana w kryterium ceny, T – liczba punktów przyznana w kryterium parametrów dodatkowych.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Kryterium CENA: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C = (Cena najniższa / Cena badanej oferty) × Waga C 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360" w:lineRule="auto"/>
        <w:jc w:val="both"/>
        <w:rPr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b w:val="1"/>
          <w:bCs w:val="1"/>
          <w:sz w:val="20"/>
          <w:szCs w:val="20"/>
          <w:u w:val="single"/>
          <w:rtl w:val="0"/>
        </w:rPr>
        <w:t xml:space="preserve">Wszechstronny aparat ultrasonograficzny (USG) </w:t>
      </w:r>
      <w:r w:rsidDel="00000000" w:rsidR="00000000" w:rsidRPr="00000000">
        <w:rPr>
          <w:b w:val="1"/>
          <w:bCs w:val="1"/>
          <w:u w:val="single"/>
          <w:rtl w:val="0"/>
        </w:rPr>
        <w:t xml:space="preserve">wraz z wyposażeniem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1440" w:hanging="360"/>
        <w:jc w:val="both"/>
        <w:rPr/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Cena (najniższa cena / cena badanej oferty) x 70pkt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1440" w:hanging="360"/>
        <w:jc w:val="both"/>
        <w:rPr>
          <w:color w:val="000000"/>
          <w:sz w:val="20"/>
          <w:szCs w:val="20"/>
        </w:rPr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Parametry dodatkowe (punkty oferty / maksymalna liczba punktów możliwych do zdobycia) – </w:t>
      </w:r>
      <w:r w:rsidDel="00000000" w:rsidR="00000000" w:rsidRPr="00000000">
        <w:rPr>
          <w:sz w:val="20"/>
          <w:szCs w:val="20"/>
          <w:rtl w:val="0"/>
        </w:rPr>
        <w:t xml:space="preserve">18</w:t>
      </w:r>
      <w:r w:rsidDel="00000000" w:rsidR="00000000" w:rsidRPr="00000000">
        <w:rPr>
          <w:color w:val="000000"/>
          <w:sz w:val="20"/>
          <w:szCs w:val="20"/>
          <w:rtl w:val="0"/>
        </w:rPr>
        <w:t xml:space="preserve">pkt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Waga: Cena 70 pkt, Parametry dodatkowe </w:t>
      </w:r>
      <w:r w:rsidDel="00000000" w:rsidR="00000000" w:rsidRPr="00000000">
        <w:rPr>
          <w:rtl w:val="0"/>
        </w:rPr>
        <w:t xml:space="preserve">18</w:t>
      </w:r>
      <w:r w:rsidDel="00000000" w:rsidR="00000000" w:rsidRPr="00000000">
        <w:rPr>
          <w:color w:val="000000"/>
          <w:rtl w:val="0"/>
        </w:rPr>
        <w:t xml:space="preserve"> pkt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Parametr oceniany: Recykling opakowania – maksymalnie 2 punkty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Opis i cel kryterium:</w:t>
        <w:br w:type="textWrapping"/>
        <w:t xml:space="preserve">Kryterium ma na celu promowanie rozwiązań przyjaznych środowisku i ograniczających ilość odpadów nierecyklingowalnych, zgodnie z zasadą DNSH („Do No Significant Harm”) oraz celami gospodarki o obiegu zamkniętym. Zamawiający oceni stopień podatności opakowania transportowego i jednostkowego oferowanego sprzętu na recykling.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Pod uwagę brane będą wszystkie elementy opakowania dostarczanego sprzętu, w tym: kartony, tworzywa sztuczne, folie, styropian, wypełnienia amortyzujące, elementy zabezpieczające oraz oznaczenia materiałowe.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Sposób oceny: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20"/>
        </w:tabs>
        <w:ind w:left="993" w:hanging="360"/>
        <w:rPr/>
      </w:pPr>
      <w:r w:rsidDel="00000000" w:rsidR="00000000" w:rsidRPr="00000000">
        <w:rPr>
          <w:color w:val="000000"/>
          <w:rtl w:val="0"/>
        </w:rPr>
        <w:t xml:space="preserve">0 pkt – opakowanie nie nadaje się do recyklingu, tj. wykonane jest z materiałów trudnych do odzysku (np. wielowarstwowych laminatów, mieszanek PVC, styropianu ekspandowanego, nieoznaczonych tworzyw lub metali).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20"/>
        </w:tabs>
        <w:ind w:left="993" w:hanging="360"/>
        <w:rPr/>
      </w:pPr>
      <w:r w:rsidDel="00000000" w:rsidR="00000000" w:rsidRPr="00000000">
        <w:rPr>
          <w:color w:val="000000"/>
          <w:rtl w:val="0"/>
        </w:rPr>
        <w:t xml:space="preserve">1 pkt – opakowanie nadaje się do recyklingu częściowo, w przedziale od 1 % do 89 % masy opakowania; pozostała część stanowi materiał nierecyklingowalny.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20"/>
        </w:tabs>
        <w:ind w:left="993" w:hanging="360"/>
        <w:rPr/>
      </w:pPr>
      <w:r w:rsidDel="00000000" w:rsidR="00000000" w:rsidRPr="00000000">
        <w:rPr>
          <w:color w:val="000000"/>
          <w:rtl w:val="0"/>
        </w:rPr>
        <w:t xml:space="preserve">2 pkt – opakowanie nadaje się do recyklingu w co najmniej 90 % swojej masy, tj. wykonane jest głównie z materiałów jednorodnych, oznaczonych i powszechnie poddawanych recyklingowi (np. tektura, HDPE, LDPE, PET, PP).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Weryfikacja: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Ocena parametrów zostanie przeprowadzona na podstawie oświadczenia Oferenta zawartego w tabeli stanowiącej załącznik nr 1 – </w:t>
      </w:r>
      <w:r w:rsidDel="00000000" w:rsidR="00000000" w:rsidRPr="00000000">
        <w:rPr>
          <w:i w:val="1"/>
          <w:iCs w:val="1"/>
          <w:color w:val="000000"/>
          <w:rtl w:val="0"/>
        </w:rPr>
        <w:t xml:space="preserve">Opis Przedmiotu Zamówienia (OPZ)</w:t>
      </w:r>
      <w:r w:rsidDel="00000000" w:rsidR="00000000" w:rsidRPr="00000000">
        <w:rPr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Uwagi:</w:t>
        <w:br w:type="textWrapping"/>
        <w:t xml:space="preserve">W przypadku braku danych lub niejednoznacznych informacji dotyczących rodzaju materiałów, opakowanie zostanie uznane za nierecyklingowalne (0 pkt).</w:t>
      </w:r>
    </w:p>
    <w:p w:rsidR="00000000" w:rsidDel="00000000" w:rsidP="00000000" w:rsidRDefault="00000000" w:rsidRPr="00000000" w14:paraId="0000001D">
      <w:pPr>
        <w:tabs>
          <w:tab w:val="left" w:leader="none" w:pos="720"/>
        </w:tabs>
        <w:ind w:left="0" w:firstLine="0"/>
        <w:rPr/>
      </w:pPr>
      <w:r w:rsidDel="00000000" w:rsidR="00000000" w:rsidRPr="00000000">
        <w:rPr>
          <w:b w:val="1"/>
          <w:bCs w:val="1"/>
          <w:rtl w:val="0"/>
        </w:rPr>
        <w:t xml:space="preserve">Parametr oceniany: Czas reakcji serwisu (telefonicznej) – maksymalnie 4 punkty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tabs>
          <w:tab w:val="left" w:leader="none" w:pos="1268.0000000000002"/>
        </w:tabs>
        <w:ind w:left="0" w:firstLine="0"/>
        <w:rPr/>
      </w:pPr>
      <w:r w:rsidDel="00000000" w:rsidR="00000000" w:rsidRPr="00000000">
        <w:rPr>
          <w:rtl w:val="0"/>
        </w:rPr>
        <w:t xml:space="preserve">Opis i cel kryterium:</w:t>
      </w:r>
    </w:p>
    <w:p w:rsidR="00000000" w:rsidDel="00000000" w:rsidP="00000000" w:rsidRDefault="00000000" w:rsidRPr="00000000" w14:paraId="0000001F">
      <w:pPr>
        <w:tabs>
          <w:tab w:val="left" w:leader="none" w:pos="1118.0000000000002"/>
        </w:tabs>
        <w:ind w:left="0" w:firstLine="0"/>
        <w:rPr/>
      </w:pPr>
      <w:r w:rsidDel="00000000" w:rsidR="00000000" w:rsidRPr="00000000">
        <w:rPr>
          <w:rtl w:val="0"/>
        </w:rPr>
        <w:t xml:space="preserve">Kryterium ma na celu ocenę sprawności organizacji serwisu oraz dostępności wsparcia technicznego oferowanego przez Wykonawcę. Krótszy czas reakcji serwisu zmniejsza ryzyko przestojów w pracy aparatu ultrasonograficznego oraz zapewnia ciągłość świadczenia usług medycznych.</w:t>
      </w:r>
    </w:p>
    <w:p w:rsidR="00000000" w:rsidDel="00000000" w:rsidP="00000000" w:rsidRDefault="00000000" w:rsidRPr="00000000" w14:paraId="00000020">
      <w:pPr>
        <w:tabs>
          <w:tab w:val="left" w:leader="none" w:pos="1118.0000000000002"/>
        </w:tabs>
        <w:ind w:left="0" w:firstLine="0"/>
        <w:rPr/>
      </w:pPr>
      <w:r w:rsidDel="00000000" w:rsidR="00000000" w:rsidRPr="00000000">
        <w:rPr>
          <w:rtl w:val="0"/>
        </w:rPr>
        <w:t xml:space="preserve">Przez czas reakcji serwisu rozumie się maksymalny czas od momentu zgłoszenia awarii przez Zamawiającego do momentu nawiązania kontaktu przez serwis Wykonawcy.</w:t>
      </w:r>
    </w:p>
    <w:p w:rsidR="00000000" w:rsidDel="00000000" w:rsidP="00000000" w:rsidRDefault="00000000" w:rsidRPr="00000000" w14:paraId="00000021">
      <w:pPr>
        <w:tabs>
          <w:tab w:val="left" w:leader="none" w:pos="1118.0000000000002"/>
        </w:tabs>
        <w:ind w:left="0" w:firstLine="0"/>
        <w:rPr/>
      </w:pPr>
      <w:r w:rsidDel="00000000" w:rsidR="00000000" w:rsidRPr="00000000">
        <w:rPr>
          <w:rtl w:val="0"/>
        </w:rPr>
        <w:t xml:space="preserve">Sposób oceny:</w:t>
      </w:r>
    </w:p>
    <w:p w:rsidR="00000000" w:rsidDel="00000000" w:rsidP="00000000" w:rsidRDefault="00000000" w:rsidRPr="00000000" w14:paraId="00000022">
      <w:pPr>
        <w:numPr>
          <w:ilvl w:val="0"/>
          <w:numId w:val="7"/>
        </w:numPr>
        <w:tabs>
          <w:tab w:val="left" w:leader="none" w:pos="1118.0000000000002"/>
        </w:tabs>
        <w:spacing w:after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 pkt – czas reakcji powyżej 48 godzin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7"/>
        </w:numPr>
        <w:tabs>
          <w:tab w:val="left" w:leader="none" w:pos="1118.0000000000002"/>
        </w:tabs>
        <w:spacing w:after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 pkt – czas reakcji do 48 godzin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7"/>
        </w:numPr>
        <w:tabs>
          <w:tab w:val="left" w:leader="none" w:pos="1118.0000000000002"/>
        </w:tabs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4 pkt – czas reakcji do 24 godzin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tabs>
          <w:tab w:val="left" w:leader="none" w:pos="720"/>
        </w:tabs>
        <w:ind w:left="0" w:firstLine="0"/>
        <w:rPr/>
      </w:pPr>
      <w:r w:rsidDel="00000000" w:rsidR="00000000" w:rsidRPr="00000000">
        <w:rPr>
          <w:rtl w:val="0"/>
        </w:rPr>
        <w:t xml:space="preserve">Weryfikacja:</w:t>
      </w:r>
    </w:p>
    <w:p w:rsidR="00000000" w:rsidDel="00000000" w:rsidP="00000000" w:rsidRDefault="00000000" w:rsidRPr="00000000" w14:paraId="00000026">
      <w:pPr>
        <w:tabs>
          <w:tab w:val="left" w:leader="none" w:pos="720"/>
        </w:tabs>
        <w:ind w:left="0" w:firstLine="0"/>
        <w:rPr/>
      </w:pPr>
      <w:r w:rsidDel="00000000" w:rsidR="00000000" w:rsidRPr="00000000">
        <w:rPr>
          <w:rtl w:val="0"/>
        </w:rPr>
        <w:t xml:space="preserve">Ocena parametrów zostanie przeprowadzona na podstawie oświadczenia Oferenta zawartego w tabeli stanowiącej załącznik nr 1 – Opis Przedmiotu Zamówienia (OPZ).</w:t>
      </w:r>
    </w:p>
    <w:p w:rsidR="00000000" w:rsidDel="00000000" w:rsidP="00000000" w:rsidRDefault="00000000" w:rsidRPr="00000000" w14:paraId="00000027">
      <w:pPr>
        <w:tabs>
          <w:tab w:val="left" w:leader="none" w:pos="720"/>
        </w:tabs>
        <w:ind w:left="0" w:firstLine="0"/>
        <w:rPr/>
      </w:pPr>
      <w:r w:rsidDel="00000000" w:rsidR="00000000" w:rsidRPr="00000000">
        <w:rPr>
          <w:rtl w:val="0"/>
        </w:rPr>
        <w:t xml:space="preserve">Uwagi:</w:t>
      </w:r>
    </w:p>
    <w:p w:rsidR="00000000" w:rsidDel="00000000" w:rsidP="00000000" w:rsidRDefault="00000000" w:rsidRPr="00000000" w14:paraId="00000028">
      <w:pPr>
        <w:tabs>
          <w:tab w:val="left" w:leader="none" w:pos="720"/>
        </w:tabs>
        <w:ind w:left="0" w:firstLine="0"/>
        <w:rPr/>
      </w:pPr>
      <w:r w:rsidDel="00000000" w:rsidR="00000000" w:rsidRPr="00000000">
        <w:rPr>
          <w:rtl w:val="0"/>
        </w:rPr>
        <w:t xml:space="preserve">W przypadku braku deklaracji czasu reakcji serwisu Zamawiający przyzna 0 punktów.</w:t>
      </w:r>
    </w:p>
    <w:p w:rsidR="00000000" w:rsidDel="00000000" w:rsidP="00000000" w:rsidRDefault="00000000" w:rsidRPr="00000000" w14:paraId="00000029">
      <w:pPr>
        <w:tabs>
          <w:tab w:val="left" w:leader="none" w:pos="720"/>
        </w:tabs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Parametr oceniany: Maksymalny czas przyjazdu serwisu – maksymalnie 4 punkty</w:t>
      </w:r>
    </w:p>
    <w:p w:rsidR="00000000" w:rsidDel="00000000" w:rsidP="00000000" w:rsidRDefault="00000000" w:rsidRPr="00000000" w14:paraId="0000002A">
      <w:pPr>
        <w:tabs>
          <w:tab w:val="left" w:leader="none" w:pos="720"/>
        </w:tabs>
        <w:ind w:left="0" w:firstLine="0"/>
        <w:rPr/>
      </w:pPr>
      <w:r w:rsidDel="00000000" w:rsidR="00000000" w:rsidRPr="00000000">
        <w:rPr>
          <w:rtl w:val="0"/>
        </w:rPr>
        <w:t xml:space="preserve">Opis i cel kryterium:</w:t>
      </w:r>
    </w:p>
    <w:p w:rsidR="00000000" w:rsidDel="00000000" w:rsidP="00000000" w:rsidRDefault="00000000" w:rsidRPr="00000000" w14:paraId="0000002B">
      <w:pPr>
        <w:tabs>
          <w:tab w:val="left" w:leader="none" w:pos="720"/>
        </w:tabs>
        <w:ind w:left="0" w:firstLine="0"/>
        <w:rPr/>
      </w:pPr>
      <w:r w:rsidDel="00000000" w:rsidR="00000000" w:rsidRPr="00000000">
        <w:rPr>
          <w:rtl w:val="0"/>
        </w:rPr>
        <w:t xml:space="preserve">Kryterium ma na celu ocenę dostępności serwisu technicznego oraz szybkości usuwania awarii aparatu ultrasonograficznego. Krótszy czas przyjazdu serwisu pozwala ograniczyć przestoje w pracy urządzenia oraz zwiększa bezpieczeństwo ciągłości świadczeń medycznych. Przez czas przyjazdu serwisu rozumie się maksymalny czas od momentu zgłoszenia awarii przez Zamawiającego do momentu przyjazdu serwisu do miejsca użytkowania urządzenia.</w:t>
      </w:r>
    </w:p>
    <w:p w:rsidR="00000000" w:rsidDel="00000000" w:rsidP="00000000" w:rsidRDefault="00000000" w:rsidRPr="00000000" w14:paraId="0000002C">
      <w:pPr>
        <w:tabs>
          <w:tab w:val="left" w:leader="none" w:pos="720"/>
        </w:tabs>
        <w:ind w:left="0" w:firstLine="0"/>
        <w:rPr/>
      </w:pPr>
      <w:r w:rsidDel="00000000" w:rsidR="00000000" w:rsidRPr="00000000">
        <w:rPr>
          <w:rtl w:val="0"/>
        </w:rPr>
        <w:t xml:space="preserve">Sposób oceny:</w:t>
      </w:r>
    </w:p>
    <w:p w:rsidR="00000000" w:rsidDel="00000000" w:rsidP="00000000" w:rsidRDefault="00000000" w:rsidRPr="00000000" w14:paraId="0000002D">
      <w:pPr>
        <w:tabs>
          <w:tab w:val="left" w:leader="none" w:pos="720"/>
        </w:tabs>
        <w:ind w:left="0" w:firstLine="992.1259842519685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tabs>
          <w:tab w:val="left" w:leader="none" w:pos="720"/>
        </w:tabs>
        <w:spacing w:after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 pkt – czas przyjazdu powyżej 48 godzin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6"/>
        </w:numPr>
        <w:tabs>
          <w:tab w:val="left" w:leader="none" w:pos="720"/>
        </w:tabs>
        <w:spacing w:after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 pkt – czas przyjazdu do 48 godzin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6"/>
        </w:numPr>
        <w:tabs>
          <w:tab w:val="left" w:leader="none" w:pos="720"/>
        </w:tabs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4 pkt – czas przyjazdu do 24 godzin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tabs>
          <w:tab w:val="left" w:leader="none" w:pos="720"/>
        </w:tabs>
        <w:ind w:left="0" w:firstLine="0"/>
        <w:rPr/>
      </w:pPr>
      <w:r w:rsidDel="00000000" w:rsidR="00000000" w:rsidRPr="00000000">
        <w:rPr>
          <w:rtl w:val="0"/>
        </w:rPr>
        <w:t xml:space="preserve">Weryfikacja:</w:t>
      </w:r>
    </w:p>
    <w:p w:rsidR="00000000" w:rsidDel="00000000" w:rsidP="00000000" w:rsidRDefault="00000000" w:rsidRPr="00000000" w14:paraId="00000032">
      <w:pPr>
        <w:tabs>
          <w:tab w:val="left" w:leader="none" w:pos="720"/>
        </w:tabs>
        <w:ind w:left="0" w:firstLine="0"/>
        <w:rPr/>
      </w:pPr>
      <w:r w:rsidDel="00000000" w:rsidR="00000000" w:rsidRPr="00000000">
        <w:rPr>
          <w:rtl w:val="0"/>
        </w:rPr>
        <w:t xml:space="preserve">Ocena parametrów zostanie przeprowadzona na podstawie oświadczenia Oferenta zawartego w tabeli stanowiącej załącznik nr 1 – Opis Przedmiotu Zamówienia (OPZ).</w:t>
      </w:r>
    </w:p>
    <w:p w:rsidR="00000000" w:rsidDel="00000000" w:rsidP="00000000" w:rsidRDefault="00000000" w:rsidRPr="00000000" w14:paraId="00000033">
      <w:pPr>
        <w:tabs>
          <w:tab w:val="left" w:leader="none" w:pos="720"/>
        </w:tabs>
        <w:ind w:left="0" w:firstLine="0"/>
        <w:rPr/>
      </w:pPr>
      <w:r w:rsidDel="00000000" w:rsidR="00000000" w:rsidRPr="00000000">
        <w:rPr>
          <w:rtl w:val="0"/>
        </w:rPr>
        <w:t xml:space="preserve">Uwagi:</w:t>
      </w:r>
    </w:p>
    <w:p w:rsidR="00000000" w:rsidDel="00000000" w:rsidP="00000000" w:rsidRDefault="00000000" w:rsidRPr="00000000" w14:paraId="00000034">
      <w:pPr>
        <w:tabs>
          <w:tab w:val="left" w:leader="none" w:pos="720"/>
        </w:tabs>
        <w:ind w:left="0" w:firstLine="0"/>
        <w:rPr/>
      </w:pPr>
      <w:r w:rsidDel="00000000" w:rsidR="00000000" w:rsidRPr="00000000">
        <w:rPr>
          <w:rtl w:val="0"/>
        </w:rPr>
        <w:t xml:space="preserve">W przypadku braku deklaracji czasu przyjazdu serwisu Zamawiający przyzna 0 punktów.</w:t>
      </w:r>
    </w:p>
    <w:p w:rsidR="00000000" w:rsidDel="00000000" w:rsidP="00000000" w:rsidRDefault="00000000" w:rsidRPr="00000000" w14:paraId="00000035">
      <w:pPr>
        <w:tabs>
          <w:tab w:val="left" w:leader="none" w:pos="720"/>
        </w:tabs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Parametr oceniany: Zapewnienie urządzenia zastępczego – maksymalnie 4 punkty</w:t>
      </w:r>
    </w:p>
    <w:p w:rsidR="00000000" w:rsidDel="00000000" w:rsidP="00000000" w:rsidRDefault="00000000" w:rsidRPr="00000000" w14:paraId="00000036">
      <w:pPr>
        <w:tabs>
          <w:tab w:val="left" w:leader="none" w:pos="720"/>
        </w:tabs>
        <w:ind w:left="0" w:firstLine="0"/>
        <w:rPr/>
      </w:pPr>
      <w:r w:rsidDel="00000000" w:rsidR="00000000" w:rsidRPr="00000000">
        <w:rPr>
          <w:rtl w:val="0"/>
        </w:rPr>
        <w:t xml:space="preserve">Opis i cel kryterium:</w:t>
      </w:r>
    </w:p>
    <w:p w:rsidR="00000000" w:rsidDel="00000000" w:rsidP="00000000" w:rsidRDefault="00000000" w:rsidRPr="00000000" w14:paraId="00000037">
      <w:pPr>
        <w:tabs>
          <w:tab w:val="left" w:leader="none" w:pos="720"/>
        </w:tabs>
        <w:ind w:left="0" w:firstLine="0"/>
        <w:rPr/>
      </w:pPr>
      <w:r w:rsidDel="00000000" w:rsidR="00000000" w:rsidRPr="00000000">
        <w:rPr>
          <w:rtl w:val="0"/>
        </w:rPr>
        <w:t xml:space="preserve">Kryterium ma na celu ocenę poziomu zabezpieczenia ciągłości pracy Zamawiającego w przypadku awarii aparatu ultrasonograficznego wymagającej naprawy przekraczającej uzgodniony czas realizacji serwisu. Zapewnienie urządzenia zastępczego ogranicza ryzyko przerw w realizacji świadczeń medycznych oraz zwiększa bezpieczeństwo funkcjonowania placówki.</w:t>
      </w:r>
    </w:p>
    <w:p w:rsidR="00000000" w:rsidDel="00000000" w:rsidP="00000000" w:rsidRDefault="00000000" w:rsidRPr="00000000" w14:paraId="00000038">
      <w:pPr>
        <w:tabs>
          <w:tab w:val="left" w:leader="none" w:pos="720"/>
        </w:tabs>
        <w:ind w:left="0" w:firstLine="0"/>
        <w:rPr/>
      </w:pPr>
      <w:r w:rsidDel="00000000" w:rsidR="00000000" w:rsidRPr="00000000">
        <w:rPr>
          <w:rtl w:val="0"/>
        </w:rPr>
        <w:t xml:space="preserve">Sposób oceny:</w:t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tabs>
          <w:tab w:val="left" w:leader="none" w:pos="720"/>
        </w:tabs>
        <w:spacing w:after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0 pkt – brak zapewnienia urządzenia zastępczego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tabs>
          <w:tab w:val="left" w:leader="none" w:pos="720"/>
        </w:tabs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4 pkt – zapewnienie urządzenia zastępczego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tabs>
          <w:tab w:val="left" w:leader="none" w:pos="720"/>
        </w:tabs>
        <w:ind w:left="0" w:firstLine="0"/>
        <w:rPr/>
      </w:pPr>
      <w:r w:rsidDel="00000000" w:rsidR="00000000" w:rsidRPr="00000000">
        <w:rPr>
          <w:rtl w:val="0"/>
        </w:rPr>
        <w:t xml:space="preserve">Weryfikacja:</w:t>
      </w:r>
    </w:p>
    <w:p w:rsidR="00000000" w:rsidDel="00000000" w:rsidP="00000000" w:rsidRDefault="00000000" w:rsidRPr="00000000" w14:paraId="0000003C">
      <w:pPr>
        <w:tabs>
          <w:tab w:val="left" w:leader="none" w:pos="720"/>
        </w:tabs>
        <w:ind w:left="0" w:firstLine="0"/>
        <w:rPr/>
      </w:pPr>
      <w:r w:rsidDel="00000000" w:rsidR="00000000" w:rsidRPr="00000000">
        <w:rPr>
          <w:rtl w:val="0"/>
        </w:rPr>
        <w:t xml:space="preserve">Ocena parametrów zostanie przeprowadzona na podstawie oświadczenia Oferenta zawartego w tabeli stanowiącej załącznik nr 1 – Opis Przedmiotu Zamówienia (OPZ).</w:t>
      </w:r>
    </w:p>
    <w:p w:rsidR="00000000" w:rsidDel="00000000" w:rsidP="00000000" w:rsidRDefault="00000000" w:rsidRPr="00000000" w14:paraId="0000003D">
      <w:pPr>
        <w:tabs>
          <w:tab w:val="left" w:leader="none" w:pos="720"/>
        </w:tabs>
        <w:ind w:left="0" w:firstLine="0"/>
        <w:rPr/>
      </w:pPr>
      <w:r w:rsidDel="00000000" w:rsidR="00000000" w:rsidRPr="00000000">
        <w:rPr>
          <w:rtl w:val="0"/>
        </w:rPr>
        <w:t xml:space="preserve">Uwagi:</w:t>
      </w:r>
    </w:p>
    <w:p w:rsidR="00000000" w:rsidDel="00000000" w:rsidP="00000000" w:rsidRDefault="00000000" w:rsidRPr="00000000" w14:paraId="0000003E">
      <w:pPr>
        <w:tabs>
          <w:tab w:val="left" w:leader="none" w:pos="720"/>
        </w:tabs>
        <w:ind w:left="0" w:firstLine="0"/>
        <w:rPr/>
      </w:pPr>
      <w:r w:rsidDel="00000000" w:rsidR="00000000" w:rsidRPr="00000000">
        <w:rPr>
          <w:rtl w:val="0"/>
        </w:rPr>
        <w:t xml:space="preserve">Urządzenie zastępcze powinno umożliwiać wykonywanie badań w zakresie odpowiadającym podstawowym funkcjom aparatu objętego zamówieniem.</w:t>
      </w:r>
    </w:p>
    <w:p w:rsidR="00000000" w:rsidDel="00000000" w:rsidP="00000000" w:rsidRDefault="00000000" w:rsidRPr="00000000" w14:paraId="0000003F">
      <w:pPr>
        <w:tabs>
          <w:tab w:val="left" w:leader="none" w:pos="720"/>
        </w:tabs>
        <w:ind w:left="0" w:firstLine="0"/>
        <w:rPr/>
      </w:pPr>
      <w:r w:rsidDel="00000000" w:rsidR="00000000" w:rsidRPr="00000000">
        <w:rPr>
          <w:b w:val="1"/>
          <w:bCs w:val="1"/>
          <w:rtl w:val="0"/>
        </w:rPr>
        <w:t xml:space="preserve">Parametr oceniany: Dodatkowe funkcje obrazowania i wsparcia diagnostycznego – maksymalnie 4 punkty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tabs>
          <w:tab w:val="left" w:leader="none" w:pos="720"/>
        </w:tabs>
        <w:ind w:left="0" w:firstLine="0"/>
        <w:rPr/>
      </w:pPr>
      <w:r w:rsidDel="00000000" w:rsidR="00000000" w:rsidRPr="00000000">
        <w:rPr>
          <w:rtl w:val="0"/>
        </w:rPr>
        <w:t xml:space="preserve">Opis i cel kryterium:</w:t>
      </w:r>
    </w:p>
    <w:p w:rsidR="00000000" w:rsidDel="00000000" w:rsidP="00000000" w:rsidRDefault="00000000" w:rsidRPr="00000000" w14:paraId="00000041">
      <w:pPr>
        <w:tabs>
          <w:tab w:val="left" w:leader="none" w:pos="720"/>
        </w:tabs>
        <w:ind w:left="0" w:firstLine="0"/>
        <w:rPr/>
      </w:pPr>
      <w:r w:rsidDel="00000000" w:rsidR="00000000" w:rsidRPr="00000000">
        <w:rPr>
          <w:rtl w:val="0"/>
        </w:rPr>
        <w:t xml:space="preserve">Kryterium ma na celu ocenę dodatkowych funkcjonalności aparatu ultrasonograficznego wykraczających poza wymagania minimalne określone w Opisie Przedmiotu Zamówienia (OPZ). Dodatkowe funkcje obrazowania i wsparcia diagnostycznego mogą zwiększać możliwości diagnostyczne aparatu oraz poprawiać jakość i efektywność wykonywanych badań.</w:t>
      </w:r>
    </w:p>
    <w:p w:rsidR="00000000" w:rsidDel="00000000" w:rsidP="00000000" w:rsidRDefault="00000000" w:rsidRPr="00000000" w14:paraId="00000042">
      <w:pPr>
        <w:tabs>
          <w:tab w:val="left" w:leader="none" w:pos="720"/>
        </w:tabs>
        <w:ind w:left="0" w:firstLine="0"/>
        <w:rPr/>
      </w:pPr>
      <w:r w:rsidDel="00000000" w:rsidR="00000000" w:rsidRPr="00000000">
        <w:rPr>
          <w:rtl w:val="0"/>
        </w:rPr>
        <w:t xml:space="preserve">Sposób oceny:</w:t>
      </w:r>
    </w:p>
    <w:p w:rsidR="00000000" w:rsidDel="00000000" w:rsidP="00000000" w:rsidRDefault="00000000" w:rsidRPr="00000000" w14:paraId="00000043">
      <w:pPr>
        <w:numPr>
          <w:ilvl w:val="0"/>
          <w:numId w:val="5"/>
        </w:numPr>
        <w:tabs>
          <w:tab w:val="left" w:leader="none" w:pos="720"/>
        </w:tabs>
        <w:spacing w:after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0 pkt – brak dodatkowych funkcji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5"/>
        </w:numPr>
        <w:tabs>
          <w:tab w:val="left" w:leader="none" w:pos="720"/>
        </w:tabs>
        <w:spacing w:after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 pkt – co najmniej 1 dodatkowa funkcja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tabs>
          <w:tab w:val="left" w:leader="none" w:pos="720"/>
        </w:tabs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4 pkt – co najmniej 2 dodatkowe funkcje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tabs>
          <w:tab w:val="left" w:leader="none" w:pos="720"/>
        </w:tabs>
        <w:ind w:left="0" w:firstLine="0"/>
        <w:rPr/>
      </w:pPr>
      <w:r w:rsidDel="00000000" w:rsidR="00000000" w:rsidRPr="00000000">
        <w:rPr>
          <w:rtl w:val="0"/>
        </w:rPr>
        <w:t xml:space="preserve">Weryfikacja:</w:t>
      </w:r>
    </w:p>
    <w:p w:rsidR="00000000" w:rsidDel="00000000" w:rsidP="00000000" w:rsidRDefault="00000000" w:rsidRPr="00000000" w14:paraId="00000047">
      <w:pPr>
        <w:tabs>
          <w:tab w:val="left" w:leader="none" w:pos="720"/>
        </w:tabs>
        <w:ind w:left="0" w:firstLine="0"/>
        <w:rPr/>
      </w:pPr>
      <w:r w:rsidDel="00000000" w:rsidR="00000000" w:rsidRPr="00000000">
        <w:rPr>
          <w:rtl w:val="0"/>
        </w:rPr>
        <w:t xml:space="preserve">Ocena parametrów zostanie przeprowadzona na podstawie oświadczenia Oferenta zawartego w tabeli stanowiącej załącznik nr 1 – Opis Przedmiotu Zamówienia (OPZ).</w:t>
      </w:r>
    </w:p>
    <w:p w:rsidR="00000000" w:rsidDel="00000000" w:rsidP="00000000" w:rsidRDefault="00000000" w:rsidRPr="00000000" w14:paraId="00000048">
      <w:pPr>
        <w:tabs>
          <w:tab w:val="left" w:leader="none" w:pos="720"/>
        </w:tabs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tabs>
          <w:tab w:val="left" w:leader="none" w:pos="720"/>
        </w:tabs>
        <w:ind w:left="0" w:firstLine="0"/>
        <w:rPr/>
      </w:pPr>
      <w:r w:rsidDel="00000000" w:rsidR="00000000" w:rsidRPr="00000000">
        <w:rPr>
          <w:rtl w:val="0"/>
        </w:rPr>
        <w:t xml:space="preserve">Uwagi:</w:t>
      </w:r>
    </w:p>
    <w:p w:rsidR="00000000" w:rsidDel="00000000" w:rsidP="00000000" w:rsidRDefault="00000000" w:rsidRPr="00000000" w14:paraId="0000004A">
      <w:pPr>
        <w:tabs>
          <w:tab w:val="left" w:leader="none" w:pos="720"/>
        </w:tabs>
        <w:ind w:left="0" w:firstLine="0"/>
        <w:rPr/>
      </w:pPr>
      <w:r w:rsidDel="00000000" w:rsidR="00000000" w:rsidRPr="00000000">
        <w:rPr>
          <w:rtl w:val="0"/>
        </w:rPr>
        <w:t xml:space="preserve">Za dodatkowe funkcje uznaje się wyłącznie funkcje niewymagane w OPZ.</w:t>
      </w:r>
    </w:p>
    <w:sectPr>
      <w:footerReference r:id="rId7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rPr>
        <w:color w:val="000000"/>
      </w:rPr>
    </w:pPr>
    <w:bookmarkStart w:colFirst="0" w:colLast="0" w:name="_heading=h.hmg3rnf9uc0m" w:id="0"/>
    <w:bookmarkEnd w:id="0"/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0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0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0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0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0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0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0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0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0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0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0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0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0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0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0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160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color w:val="2e74b5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color w:val="2e74b5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e74b5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e74b5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e74b5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Rule="auto"/>
    </w:pPr>
    <w:rPr>
      <w:sz w:val="56"/>
      <w:szCs w:val="56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agwek7">
    <w:name w:val="heading 7"/>
    <w:pPr>
      <w:keepNext w:val="1"/>
      <w:keepLines w:val="1"/>
      <w:spacing w:after="0" w:before="40"/>
      <w:outlineLvl w:val="6"/>
    </w:pPr>
    <w:rPr>
      <w:rFonts w:eastAsia="Times New Roman"/>
      <w:color w:val="595959"/>
    </w:rPr>
  </w:style>
  <w:style w:type="paragraph" w:styleId="Nagwek8">
    <w:name w:val="heading 8"/>
    <w:pPr>
      <w:keepNext w:val="1"/>
      <w:keepLines w:val="1"/>
      <w:spacing w:after="0"/>
      <w:outlineLvl w:val="7"/>
    </w:pPr>
    <w:rPr>
      <w:rFonts w:eastAsia="Times New Roman"/>
      <w:i w:val="1"/>
      <w:iCs w:val="1"/>
      <w:color w:val="272727"/>
    </w:rPr>
  </w:style>
  <w:style w:type="paragraph" w:styleId="Nagwek9">
    <w:name w:val="heading 9"/>
    <w:pPr>
      <w:keepNext w:val="1"/>
      <w:keepLines w:val="1"/>
      <w:spacing w:after="0"/>
      <w:outlineLvl w:val="8"/>
    </w:pPr>
    <w:rPr>
      <w:rFonts w:eastAsia="Times New Roman"/>
      <w:color w:val="272727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Nagwek1Znak" w:customStyle="1">
    <w:name w:val="Nagłówek 1 Znak"/>
    <w:basedOn w:val="Domylnaczcionkaakapitu"/>
    <w:rPr>
      <w:rFonts w:ascii="Calibri Light" w:cs="Times New Roman" w:eastAsia="Times New Roman" w:hAnsi="Calibri Light"/>
      <w:color w:val="2e74b5"/>
      <w:sz w:val="40"/>
      <w:szCs w:val="40"/>
    </w:rPr>
  </w:style>
  <w:style w:type="character" w:styleId="Nagwek2Znak" w:customStyle="1">
    <w:name w:val="Nagłówek 2 Znak"/>
    <w:basedOn w:val="Domylnaczcionkaakapitu"/>
    <w:rPr>
      <w:rFonts w:ascii="Calibri Light" w:cs="Times New Roman" w:eastAsia="Times New Roman" w:hAnsi="Calibri Light"/>
      <w:color w:val="2e74b5"/>
      <w:sz w:val="32"/>
      <w:szCs w:val="32"/>
    </w:rPr>
  </w:style>
  <w:style w:type="character" w:styleId="Nagwek3Znak" w:customStyle="1">
    <w:name w:val="Nagłówek 3 Znak"/>
    <w:basedOn w:val="Domylnaczcionkaakapitu"/>
    <w:rPr>
      <w:rFonts w:cs="Times New Roman" w:eastAsia="Times New Roman"/>
      <w:color w:val="2e74b5"/>
      <w:sz w:val="28"/>
      <w:szCs w:val="28"/>
    </w:rPr>
  </w:style>
  <w:style w:type="character" w:styleId="Nagwek4Znak" w:customStyle="1">
    <w:name w:val="Nagłówek 4 Znak"/>
    <w:basedOn w:val="Domylnaczcionkaakapitu"/>
    <w:rPr>
      <w:rFonts w:cs="Times New Roman" w:eastAsia="Times New Roman"/>
      <w:i w:val="1"/>
      <w:iCs w:val="1"/>
      <w:color w:val="2e74b5"/>
    </w:rPr>
  </w:style>
  <w:style w:type="character" w:styleId="Nagwek5Znak" w:customStyle="1">
    <w:name w:val="Nagłówek 5 Znak"/>
    <w:basedOn w:val="Domylnaczcionkaakapitu"/>
    <w:rPr>
      <w:rFonts w:cs="Times New Roman" w:eastAsia="Times New Roman"/>
      <w:color w:val="2e74b5"/>
    </w:rPr>
  </w:style>
  <w:style w:type="character" w:styleId="Nagwek6Znak" w:customStyle="1">
    <w:name w:val="Nagłówek 6 Znak"/>
    <w:basedOn w:val="Domylnaczcionkaakapitu"/>
    <w:rPr>
      <w:rFonts w:cs="Times New Roman" w:eastAsia="Times New Roman"/>
      <w:i w:val="1"/>
      <w:iCs w:val="1"/>
      <w:color w:val="595959"/>
    </w:rPr>
  </w:style>
  <w:style w:type="character" w:styleId="Nagwek7Znak" w:customStyle="1">
    <w:name w:val="Nagłówek 7 Znak"/>
    <w:basedOn w:val="Domylnaczcionkaakapitu"/>
    <w:rPr>
      <w:rFonts w:cs="Times New Roman" w:eastAsia="Times New Roman"/>
      <w:color w:val="595959"/>
    </w:rPr>
  </w:style>
  <w:style w:type="character" w:styleId="Nagwek8Znak" w:customStyle="1">
    <w:name w:val="Nagłówek 8 Znak"/>
    <w:basedOn w:val="Domylnaczcionkaakapitu"/>
    <w:rPr>
      <w:rFonts w:cs="Times New Roman" w:eastAsia="Times New Roman"/>
      <w:i w:val="1"/>
      <w:iCs w:val="1"/>
      <w:color w:val="272727"/>
    </w:rPr>
  </w:style>
  <w:style w:type="character" w:styleId="Nagwek9Znak" w:customStyle="1">
    <w:name w:val="Nagłówek 9 Znak"/>
    <w:basedOn w:val="Domylnaczcionkaakapitu"/>
    <w:rPr>
      <w:rFonts w:cs="Times New Roman" w:eastAsia="Times New Roman"/>
      <w:color w:val="272727"/>
    </w:rPr>
  </w:style>
  <w:style w:type="character" w:styleId="TytuZnak" w:customStyle="1">
    <w:name w:val="Tytuł Znak"/>
    <w:basedOn w:val="Domylnaczcionkaakapitu"/>
    <w:rPr>
      <w:rFonts w:ascii="Calibri Light" w:cs="Times New Roman" w:eastAsia="Times New Roman" w:hAnsi="Calibri Light"/>
      <w:spacing w:val="-10"/>
      <w:kern w:val="3"/>
      <w:sz w:val="56"/>
      <w:szCs w:val="56"/>
    </w:rPr>
  </w:style>
  <w:style w:type="character" w:styleId="PodtytuZnak" w:customStyle="1">
    <w:name w:val="Podtytuł Znak"/>
    <w:basedOn w:val="Domylnaczcionkaakapitu"/>
    <w:rPr>
      <w:rFonts w:cs="Times New Roman" w:eastAsia="Times New Roman"/>
      <w:color w:val="595959"/>
      <w:spacing w:val="15"/>
      <w:sz w:val="28"/>
      <w:szCs w:val="28"/>
    </w:rPr>
  </w:style>
  <w:style w:type="paragraph" w:styleId="Cytat">
    <w:name w:val="Quote"/>
    <w:pPr>
      <w:spacing w:before="160"/>
      <w:jc w:val="center"/>
    </w:pPr>
    <w:rPr>
      <w:i w:val="1"/>
      <w:iCs w:val="1"/>
      <w:color w:val="404040"/>
    </w:rPr>
  </w:style>
  <w:style w:type="character" w:styleId="CytatZnak" w:customStyle="1">
    <w:name w:val="Cytat Znak"/>
    <w:basedOn w:val="Domylnaczcionkaakapitu"/>
    <w:rPr>
      <w:i w:val="1"/>
      <w:iCs w:val="1"/>
      <w:color w:val="404040"/>
    </w:rPr>
  </w:style>
  <w:style w:type="paragraph" w:styleId="Akapitzlist">
    <w:name w:val="List Paragraph"/>
    <w:pPr>
      <w:ind w:left="720"/>
    </w:pPr>
  </w:style>
  <w:style w:type="character" w:styleId="Wyrnienieintensywne">
    <w:name w:val="Intense Emphasis"/>
    <w:basedOn w:val="Domylnaczcionkaakapitu"/>
    <w:rPr>
      <w:i w:val="1"/>
      <w:iCs w:val="1"/>
      <w:color w:val="2e74b5"/>
    </w:rPr>
  </w:style>
  <w:style w:type="paragraph" w:styleId="Cytatintensywny">
    <w:name w:val="Intense Quote"/>
    <w:pPr>
      <w:pBdr>
        <w:top w:color="2e74b5" w:space="10" w:sz="4" w:val="single"/>
        <w:bottom w:color="2e74b5" w:space="10" w:sz="4" w:val="single"/>
      </w:pBdr>
      <w:spacing w:after="360" w:before="360"/>
      <w:ind w:left="864" w:right="864"/>
      <w:jc w:val="center"/>
    </w:pPr>
    <w:rPr>
      <w:i w:val="1"/>
      <w:iCs w:val="1"/>
      <w:color w:val="2e74b5"/>
    </w:rPr>
  </w:style>
  <w:style w:type="character" w:styleId="CytatintensywnyZnak" w:customStyle="1">
    <w:name w:val="Cytat intensywny Znak"/>
    <w:basedOn w:val="Domylnaczcionkaakapitu"/>
    <w:rPr>
      <w:i w:val="1"/>
      <w:iCs w:val="1"/>
      <w:color w:val="2e74b5"/>
    </w:rPr>
  </w:style>
  <w:style w:type="character" w:styleId="Odwoanieintensywne">
    <w:name w:val="Intense Reference"/>
    <w:basedOn w:val="Domylnaczcionkaakapitu"/>
    <w:rPr>
      <w:b w:val="1"/>
      <w:bCs w:val="1"/>
      <w:smallCaps w:val="1"/>
      <w:color w:val="2e74b5"/>
      <w:spacing w:val="5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link w:val="TekstkomentarzaZnak1"/>
    <w:rPr>
      <w:sz w:val="20"/>
      <w:szCs w:val="20"/>
    </w:rPr>
  </w:style>
  <w:style w:type="character" w:styleId="TekstkomentarzaZnak" w:customStyle="1">
    <w:name w:val="Tekst komentarza Znak"/>
    <w:basedOn w:val="Domylnaczcionkaakapitu"/>
    <w:rPr>
      <w:rFonts w:ascii="Calibri" w:cs="Times New Roman" w:eastAsia="Calibri" w:hAnsi="Calibri"/>
      <w:kern w:val="3"/>
      <w:sz w:val="20"/>
      <w:szCs w:val="20"/>
    </w:rPr>
  </w:style>
  <w:style w:type="paragraph" w:styleId="Nagwek">
    <w:name w:val="header"/>
    <w:pPr>
      <w:tabs>
        <w:tab w:val="center" w:pos="4536"/>
        <w:tab w:val="right" w:pos="9072"/>
      </w:tabs>
      <w:spacing w:after="0"/>
    </w:pPr>
  </w:style>
  <w:style w:type="character" w:styleId="NagwekZnak" w:customStyle="1">
    <w:name w:val="Nagłówek Znak"/>
    <w:basedOn w:val="Domylnaczcionkaakapitu"/>
    <w:rPr>
      <w:kern w:val="3"/>
    </w:rPr>
  </w:style>
  <w:style w:type="paragraph" w:styleId="Stopka">
    <w:name w:val="footer"/>
    <w:pPr>
      <w:tabs>
        <w:tab w:val="center" w:pos="4536"/>
        <w:tab w:val="right" w:pos="9072"/>
      </w:tabs>
      <w:spacing w:after="0"/>
    </w:pPr>
  </w:style>
  <w:style w:type="character" w:styleId="StopkaZnak" w:customStyle="1">
    <w:name w:val="Stopka Znak"/>
    <w:basedOn w:val="Domylnaczcionkaakapitu"/>
    <w:rPr>
      <w:kern w:val="3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F37824"/>
    <w:rPr>
      <w:b w:val="1"/>
      <w:bCs w:val="1"/>
    </w:rPr>
  </w:style>
  <w:style w:type="character" w:styleId="TekstkomentarzaZnak1" w:customStyle="1">
    <w:name w:val="Tekst komentarza Znak1"/>
    <w:basedOn w:val="Domylnaczcionkaakapitu"/>
    <w:link w:val="Tekstkomentarza"/>
    <w:rsid w:val="00F37824"/>
    <w:rPr>
      <w:kern w:val="3"/>
      <w:sz w:val="20"/>
      <w:szCs w:val="20"/>
    </w:rPr>
  </w:style>
  <w:style w:type="character" w:styleId="TematkomentarzaZnak" w:customStyle="1">
    <w:name w:val="Temat komentarza Znak"/>
    <w:basedOn w:val="TekstkomentarzaZnak1"/>
    <w:link w:val="Tematkomentarza"/>
    <w:uiPriority w:val="99"/>
    <w:semiHidden w:val="1"/>
    <w:rsid w:val="00F37824"/>
    <w:rPr>
      <w:b w:val="1"/>
      <w:bCs w:val="1"/>
      <w:kern w:val="3"/>
      <w:sz w:val="20"/>
      <w:szCs w:val="20"/>
    </w:rPr>
  </w:style>
  <w:style w:type="paragraph" w:styleId="Tekstdymka">
    <w:name w:val="Balloon Text"/>
    <w:link w:val="TekstdymkaZnak"/>
    <w:uiPriority w:val="99"/>
    <w:semiHidden w:val="1"/>
    <w:unhideWhenUsed w:val="1"/>
    <w:rsid w:val="00F37824"/>
    <w:pPr>
      <w:spacing w:after="0"/>
    </w:pPr>
    <w:rPr>
      <w:rFonts w:ascii="Segoe UI" w:cs="Segoe UI" w:hAnsi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F37824"/>
    <w:rPr>
      <w:rFonts w:ascii="Segoe UI" w:cs="Segoe UI" w:hAnsi="Segoe UI"/>
      <w:kern w:val="3"/>
      <w:sz w:val="18"/>
      <w:szCs w:val="18"/>
    </w:rPr>
  </w:style>
  <w:style w:type="paragraph" w:styleId="Poprawka">
    <w:name w:val="Revision"/>
    <w:hidden w:val="1"/>
    <w:uiPriority w:val="99"/>
    <w:semiHidden w:val="1"/>
    <w:rsid w:val="00C95C04"/>
    <w:pPr>
      <w:spacing w:after="0"/>
    </w:pPr>
    <w:rPr>
      <w:kern w:val="3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AXRhAR8tR7z1y8On5TslNJ4njg==">CgMxLjAyDmguaG1nM3JuZjl1YzBtOAByITFxTE8wNTZYNHNRMHd4S2tQZnZ2UVdKLWF6ZzNycXJiOQ==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2026-02-18T19:41:00Z</dcterms:created>
  <dc:creator>Katarzyna KG. Grzyb</dc:creator>
</cp:coreProperties>
</file>